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94</w:t>
      </w:r>
    </w:p>
    <w:p>
      <w:r>
        <w:t>Bundesgericht (BGE), 1976-06-11, DE</w:t>
      </w:r>
    </w:p>
    <w:p>
      <w:r>
        <w:rPr>
          <w:b/>
        </w:rPr>
        <w:t xml:space="preserve">Quelle: </w:t>
      </w:r>
      <w:r>
        <w:t>https://mcp.opencaselaw.ch/entscheid/bge_102 IV 94</w:t>
      </w:r>
    </w:p>
    <w:p>
      <w:r>
        <w:t>FR: ATF 102 IV 94</w:t>
      </w:r>
    </w:p>
    <w:p>
      <w:r>
        <w:t>IT: DTF 102 IV 94</w:t>
      </w:r>
    </w:p>
    <w:p>
      <w:pPr>
        <w:pStyle w:val="Heading2"/>
      </w:pPr>
      <w:r>
        <w:t>Regeste</w:t>
      </w:r>
    </w:p>
    <w:p>
      <w:r>
        <w:t>Regeste Art. 195 Abs. 2 StGB. 1. Zur Tat gehören auch die Begleitumstände der unzüchtigen Handlung (Erw. 4a). 2. Die Bestimmung setzt voraus, dass für den Täter eine besondere, erhebliche und naheliegende Gefahr für das Leben des Opfers erkennbar war (Erw. 4b). 3. Objektive und subjektive Voraussehbarkeit der Todesfolge (Erw. 5).</w:t>
      </w:r>
    </w:p>
    <w:p>
      <w:pPr>
        <w:pStyle w:val="Heading2"/>
      </w:pPr>
      <w:r>
        <w:t>Erwägungen</w:t>
      </w:r>
    </w:p>
    <w:p>
      <w:r>
        <w:rPr>
          <w:b/>
        </w:rPr>
        <w:t>E. 4</w:t>
      </w:r>
    </w:p>
    <w:p>
      <w:r>
        <w:t>Wer sein Stiefkind unter sechzehn Jahren zum Beischlaf missbraucht, wird mit Zuchthaus nicht unter zwei Jahren bestraft (Art. 191 Ziff. 1 Abs. 1 in Verbindung mit Abs. 2 StGB). Stirbt das Kind infolge der Tat und konnte der Täter dies voraussehen, so wird er mit Zuchthaus nicht unter fünf Jahren bestraft ( Art. 195 Abs. 2 StGB ). a) Art. 195 Abs. 2 StGB setzt mit dem Ausdruck "infolge der Tat" voraus, dass das Verhalten des Täters für den Tod des geschlechtlich missbrauchten Opfers kausal gewesen sei. Das Wort "Tat" ist hier im weitesten Sinne zu verstehen. Dazu ist nicht nur der geschlechtliche Missbrauch als solcher, wie z.B. der Beischlaf, durch den einem Kleinkind tödliche Verletzungen zugefügt werden, sondern sind auch andere Begleitumstände der Tat zu rechnen, so insbesondere die Anwendung von Gewalt oder Zwang gegenüber dem Opfer (HAFTER, Bes. Teil I, S. 122; LOGOZ, N. 2 zu Art. 195). Den vorliegenden Fall kennzeichnet, dass der Täter, um den Beischlaf zu erleichtern, sein Opfer ein Betäubungsmittel einatmen liess, das während der Beiwohnung tödliche Folgen zeitigte. Der Kausalzusammenhang zwischen dem Verhalten des Beschwerdeführers und dem Tod des missbrauchten Kindes ist damit erstellt und übrigens auch unbestritten. b) Nach Art. 195 Abs. 2 StGB muss das vorsätzlich begangene Unzuchtsdelikt zum Tod des Opfers geführt haben, den der Täter nicht gewollt, aber fahrlässig verschuldet hat. Das Strafgesetzbuch behandelt eine Reihe weiterer Fälle, in denen ein Vorsatzdelikt, das mit einem weitergehenden, fahrlässig herbeigeführten Erfolg zusammentrifft, als qualifizierten Tatbestand BGE 102 IV 94 S. 97 mit erhöhter Strafandrohung (siehe Art. 119 Ziff. 3 Abs. 3, 122 Ziff. 2, 123 Ziff. 3, 127 Ziff. 2, 134 Ziff. 1 Abs. 3, 135 Ziff. 1 Abs. 3, 139 Ziff. 2 Abs. 5). In einigen dieser Fälle wurde die Mindeststrafe des qualifizierten Tatbestandes, gemessen am zusätzlichen fahrlässigen Verschulden, unverhältnismässig stark erhöht, was auf die Auswirkungen der Erfolgshaftung früherer Rechte zurückzuführen ist (SCHULTZ, AT I, 2. Aufl., S. 152; SCHWANDER, Nr. 520, Ziff. 2c; STRATENWERTH, BT I, S. 66). Die bundesgerichtliche Rechtsprechung hat deshalb dort, wo zwischen dem Strafminimum des einfachen und demjenigen des qualifizierten Tatbestandes ein grosser Unterschied besteht, den Begriff der Voraussehbarkeit der Todesfolge einschränkend ausgelegt und verlangt, dass die Unvorsichtigkeit des Täters nach ihrer normalen Auswirkung für das Leben des Opfers eine besondere, erhebliche und naheliegende Gefahr geschaffen haben müsse, die für den Täter erkennbar gewesen sei ( BGE 69 IV 231 betr. Art. 119 Ziff. 3; BGE 74 IV 85 betr. Art. 123 Ziff. 3). Diese Rechtsprechung Ist vom Bundesgericht nicht, wie die Vorinstanz annimmt, immer mehr aufgegeben worden. Wenn es in gewissen späteren Entscheidungen an die Voraussehbarkeit des tödlichen Erfolges weniger strenge Anforderungen stellte und genügen liess, dass der Täter die Todesfolge als nicht entfernte Möglichkeit im Sinne des Art. 18 Abs. 3 StGB voraussehen konnte, so liegt der Grund darin, dass in diesen Fällen eine einschränkende Auslegung im Hinblick auf das Fehlen besonders erhöhter Mindeststrafen nicht angebracht ( BGE 74 IV 87 , BGE 89 IV 8 ) oder die Voraussehbarkeit der Lebensgefahr als Folge zahlreicher und schwerer Körperverletzungen offenkundig war ( BGE 83 IV 189 ). Ebensowenig kann den Erwägungen in BGE 97 IV 89 ff. eine grundsätzliche Änderung der bisherigen Praxis entnommen werden. Zwar wendet sich dieser Entscheid gegen eine Erweiterung des Anwendungsbereiches der in BGE 69 IV 231 eingeleiteten Rechtsprechung, hält diese aber nach wie vor für gerechtfertigt in Fällen, wo die Spanne zwischen den Strafminima des einfachen und qualifizierten Tatbestandes sehr gross ist (S. 91). Der Beischlaf mit einem Stiefkind wird mindestens mit zwei Jahren Zuchthaus, im Falle der voraussehbaren Todesfolge mit der Mindeststrafe von fünf Jahren Zuchthaus bedroht. Der Unterschied zwischen den beiden Strafminima ist also BGE 102 IV 94 S. 98 derart gross, dass es stossend wäre, bei der Anwendung des Art. 195 Abs. 2 den normalen Fahrlässigkeitsbegriff zugrundezulegen. Die Voraussehbarkeit des tödlichen Ausgangs ist daher auch hier im Sinne der bisherigen bundesgerichtlichen Rechtsprechung erst zu bejahen, wenn die Tat, zu der auch die Betäubung gehört, nach ihrer normalen Auswirkung das Leben des Kindes in eine besondere, erhebliche und naheliegende Gefahr gebracht hat und der Beschwerdeführer diese bei pflichtgemässer Vorsicht hat erkennen können.</w:t>
      </w:r>
    </w:p>
    <w:p>
      <w:r>
        <w:rPr>
          <w:b/>
        </w:rPr>
        <w:t>E. 5</w:t>
      </w:r>
    </w:p>
    <w:p>
      <w:r>
        <w:t>Das Obergericht ist grundsätzlich davon ausgegangen, die Voraussehbarkeit der Todesfolge sei nach den üblichen Massstäben des Art. 18 Abs. 3 StGB zu beurteilen. Abschliessend bemerkt es, dass sich am Schuldspruch nichts ändern würde, wenn an die Voraussehbarkeit erhöhte Anforderungen zu stellen wären. Der Beschwerdeführer habe nämlich das Mädchen in eine besondere, erhebliche und naheliegende Gefahr gebracht, denn es sei allgemein bekannt, dass Bewusstlose in Rückenlage an Erbrochenem oder sogar am eigenen Speichel ersticken können. Die Gefahr des Erbrechens sei zudem besonders nahe gelegen, weil sich die Geschädigte am fraglichen Abend nicht wohl gefühlt habe und ihr Magen, als der Beschwerdeführer sich auf sie gelegt habe, noch zusätzlich belastet worden sei. Nach dem Gutachten des gerichtsmedizinischen Institutes lägen allein schon im Umstand, dass die Narkotisierung von einem Laien durchgeführt werde, erhebliche Gefahren, namentlich dann, wenn er keine Ahnung von Anwendungsart und Dosierung des Narkotikums habe und eine völlig unkontrollierte Menge eines Mittels verabreiche, das tödlich wirken könne. Durch diese Feststellungen wird die objektive Seite der Voraussehbarkeit einer besonderen, erheblichen und naheliegenden Gefahr für das Leben verbindlich dargetan. Die subsidiäre Begründung der Vorinstanz enthält indessen keine Ausführungen darüber, ob der Beschwerdeführer die besonders erhebliche und naheliegende Lebensgefahr bei Anwendung der nach seinen persönlichen Verhältnissen gebotenen Vorsicht habe erkennen können, die hohe Gefahr also auch subjektiv voraussehbar gewesen sei. In den vorausgehenden, im Rahmen des gewöhnlichen Fahrlässigkeitsgebriffes angestellten Erwägungen über die Voraussehbarkeit der Todesfolge wird lediglich festgestellt, die dem Beschwerdeführer bekannten BGE 102 IV 94 S. 99 Gefahrenmomente hätten ihm bewusst machen müssen, dass seine Handlungsweise "möglicherweise den Tod des Mädchens herbeiführen könnte". Die Erkennbarkeit eines bloss möglichen Todes reicht jedoch nicht aus, da nach der dargelegten Rechtsprechung der Täter imstande gewesen sein muss, eine besonders ernsthafte und naheliegende Todesgefahr zu erkennen. Das angefochtene Urteil ist daher aufzuheben und die Sache an die Vorinstanz zurückzuweisen, damit sie die subjektive Voraussehbarkeit neu prüfe.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